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Sous-titre"/>
        <w:rPr>
          <w:lang w:val="fr-FR"/>
        </w:rPr>
      </w:pPr>
      <w:proofErr w:type="gramStart"/>
      <w:r>
        <w:rPr>
          <w:lang w:val="fr-FR"/>
        </w:rPr>
        <w:t>CHANTEMERLE  |</w:t>
      </w:r>
      <w:proofErr w:type="gramEnd"/>
      <w:r>
        <w:rPr>
          <w:lang w:val="fr-FR"/>
        </w:rPr>
        <w:t xml:space="preserve">  CONTRIBUTION THÉMATIQUE</w:t>
      </w:r>
    </w:p>
    <w:p>
      <w:pPr>
        <w:pStyle w:val="Titre"/>
        <w:rPr>
          <w:lang w:val="fr-FR"/>
        </w:rPr>
      </w:pPr>
      <w:r>
        <w:rPr>
          <w:lang w:val="fr-FR"/>
        </w:rPr>
        <w:t>Parc, arbres, bassins et biodiversité</w:t>
      </w:r>
    </w:p>
    <w:p>
      <w:pPr>
        <w:rPr>
          <w:lang w:val="fr-FR"/>
        </w:rPr>
      </w:pPr>
      <w:r>
        <w:rPr>
          <w:i/>
          <w:lang w:val="fr-FR"/>
        </w:rPr>
        <w:t>Document de travail à personnaliser — concertation sur le projet présenté le 23 septembre 2026.</w:t>
      </w:r>
    </w:p>
    <w:p>
      <w:pPr>
        <w:pStyle w:val="Titre1"/>
        <w:spacing w:before="120" w:after="60"/>
      </w:pPr>
      <w:r>
        <w:t>1. ÉLÉMENTS DU PROJET — FAITS ANNONCÉS</w:t>
      </w:r>
    </w:p>
    <w:p>
      <w:pPr>
        <w:pStyle w:val="Listepuces"/>
        <w:rPr>
          <w:sz w:val="17"/>
          <w:szCs w:val="17"/>
        </w:rPr>
      </w:pPr>
      <w:r>
        <w:rPr>
          <w:rFonts w:eastAsia="Aptos" w:cs="Aptos"/>
          <w:sz w:val="17"/>
          <w:szCs w:val="17"/>
          <w:lang w:val="fr-FR"/>
        </w:rPr>
        <w:t xml:space="preserve">Le porteur de projet annonce 5 670 m² d’espaces verts sur un terrain de 7 563 m², pour un minimum réglementaire annoncé de 4 527 m² ; chiffres provisoires. </w:t>
      </w:r>
      <w:r>
        <w:rPr>
          <w:rFonts w:eastAsia="Aptos" w:cs="Aptos"/>
          <w:sz w:val="17"/>
          <w:szCs w:val="17"/>
        </w:rPr>
        <w:t>[</w:t>
      </w:r>
      <w:proofErr w:type="spellStart"/>
      <w:r>
        <w:rPr>
          <w:rFonts w:eastAsia="Aptos" w:cs="Aptos"/>
          <w:sz w:val="17"/>
          <w:szCs w:val="17"/>
        </w:rPr>
        <w:t>Diaporama</w:t>
      </w:r>
      <w:proofErr w:type="spellEnd"/>
      <w:r>
        <w:rPr>
          <w:rFonts w:eastAsia="Aptos" w:cs="Aptos"/>
          <w:sz w:val="17"/>
          <w:szCs w:val="17"/>
        </w:rPr>
        <w:t xml:space="preserve"> p. 12, 16]</w:t>
      </w:r>
    </w:p>
    <w:p>
      <w:pPr>
        <w:pStyle w:val="Listepuces"/>
        <w:rPr>
          <w:sz w:val="17"/>
          <w:szCs w:val="17"/>
        </w:rPr>
      </w:pPr>
      <w:r>
        <w:rPr>
          <w:rFonts w:eastAsia="Aptos" w:cs="Aptos"/>
          <w:sz w:val="17"/>
          <w:szCs w:val="17"/>
          <w:lang w:val="fr-FR"/>
        </w:rPr>
        <w:t xml:space="preserve">Le diaporama promet la conservation des perspectives et continuités végétales et la protection du périmètre boisé durant le chantier. </w:t>
      </w:r>
      <w:r>
        <w:rPr>
          <w:rFonts w:eastAsia="Aptos" w:cs="Aptos"/>
          <w:sz w:val="17"/>
          <w:szCs w:val="17"/>
        </w:rPr>
        <w:t>[</w:t>
      </w:r>
      <w:proofErr w:type="spellStart"/>
      <w:r>
        <w:rPr>
          <w:rFonts w:eastAsia="Aptos" w:cs="Aptos"/>
          <w:sz w:val="17"/>
          <w:szCs w:val="17"/>
        </w:rPr>
        <w:t>Diaporama</w:t>
      </w:r>
      <w:proofErr w:type="spellEnd"/>
      <w:r>
        <w:rPr>
          <w:rFonts w:eastAsia="Aptos" w:cs="Aptos"/>
          <w:sz w:val="17"/>
          <w:szCs w:val="17"/>
        </w:rPr>
        <w:t xml:space="preserve"> p. 22, 27, 29]</w:t>
      </w:r>
    </w:p>
    <w:p>
      <w:pPr>
        <w:pStyle w:val="Listepuces"/>
        <w:rPr>
          <w:sz w:val="17"/>
          <w:szCs w:val="17"/>
        </w:rPr>
      </w:pPr>
      <w:r>
        <w:rPr>
          <w:rFonts w:eastAsia="Aptos" w:cs="Aptos"/>
          <w:sz w:val="17"/>
          <w:szCs w:val="17"/>
          <w:lang w:val="fr-FR"/>
        </w:rPr>
        <w:t xml:space="preserve">En réunion, LAD a indiqué vouloir conserver le maximum d’arbres ; aucun inventaire ni plan d’abattage n’a été fourni dans la synthèse des réponses. </w:t>
      </w:r>
      <w:r>
        <w:rPr>
          <w:rFonts w:eastAsia="Aptos" w:cs="Aptos"/>
          <w:sz w:val="17"/>
          <w:szCs w:val="17"/>
        </w:rPr>
        <w:t>[Q/R 01:23:24]</w:t>
      </w:r>
    </w:p>
    <w:p>
      <w:pPr>
        <w:pStyle w:val="Listepuces"/>
        <w:rPr>
          <w:sz w:val="17"/>
          <w:szCs w:val="17"/>
          <w:lang w:val="fr-FR"/>
        </w:rPr>
      </w:pPr>
      <w:r>
        <w:rPr>
          <w:rFonts w:eastAsia="Aptos" w:cs="Aptos"/>
          <w:sz w:val="17"/>
          <w:szCs w:val="17"/>
          <w:lang w:val="fr-FR"/>
        </w:rPr>
        <w:t>Concernant</w:t>
      </w:r>
      <w:r>
        <w:rPr>
          <w:rFonts w:eastAsia="Aptos" w:cs="Aptos"/>
          <w:sz w:val="17"/>
          <w:szCs w:val="17"/>
          <w:lang w:val="fr-FR"/>
        </w:rPr>
        <w:t xml:space="preserve"> l’ensablement de la zone humide (bassins et ruisseaux) qui se trouve au cœur de plusieurs continuités écologiques (</w:t>
      </w:r>
      <w:r>
        <w:rPr>
          <w:rFonts w:eastAsia="Aptos" w:cs="Aptos"/>
          <w:color w:val="080809"/>
          <w:sz w:val="17"/>
          <w:szCs w:val="17"/>
          <w:shd w:val="clear" w:color="auto" w:fill="FFFFFF"/>
          <w:lang w:val="fr-FR"/>
        </w:rPr>
        <w:t xml:space="preserve">aquatique, boisée, milieux ouverts) : </w:t>
      </w:r>
      <w:r>
        <w:rPr>
          <w:rFonts w:eastAsia="Aptos" w:cs="Aptos"/>
          <w:sz w:val="17"/>
          <w:szCs w:val="17"/>
          <w:lang w:val="fr-FR"/>
        </w:rPr>
        <w:t xml:space="preserve"> LAD et la commune ont évoqué l’artificialité des bassins + ruisseaux, et la lutte contre le moustique </w:t>
      </w:r>
      <w:proofErr w:type="gramStart"/>
      <w:r>
        <w:rPr>
          <w:rFonts w:eastAsia="Aptos" w:cs="Aptos"/>
          <w:sz w:val="17"/>
          <w:szCs w:val="17"/>
          <w:lang w:val="fr-FR"/>
        </w:rPr>
        <w:t>tigre  (</w:t>
      </w:r>
      <w:proofErr w:type="gramEnd"/>
      <w:r>
        <w:rPr>
          <w:rFonts w:eastAsia="Aptos" w:cs="Aptos"/>
          <w:sz w:val="17"/>
          <w:szCs w:val="17"/>
          <w:lang w:val="fr-FR"/>
        </w:rPr>
        <w:t>eaux stagnantes</w:t>
      </w:r>
      <w:proofErr w:type="gramStart"/>
      <w:r>
        <w:rPr>
          <w:rFonts w:eastAsia="Aptos" w:cs="Aptos"/>
          <w:sz w:val="17"/>
          <w:szCs w:val="17"/>
          <w:lang w:val="fr-FR"/>
        </w:rPr>
        <w:t>);</w:t>
      </w:r>
      <w:proofErr w:type="gramEnd"/>
      <w:r>
        <w:rPr>
          <w:rFonts w:eastAsia="Aptos" w:cs="Aptos"/>
          <w:sz w:val="17"/>
          <w:szCs w:val="17"/>
          <w:lang w:val="fr-FR"/>
        </w:rPr>
        <w:t xml:space="preserve"> aucune évaluation écologique des effets ni mesure compensatoire précise n’a été présentée. [Q/R </w:t>
      </w:r>
      <w:proofErr w:type="gramStart"/>
      <w:r>
        <w:rPr>
          <w:rFonts w:eastAsia="Aptos" w:cs="Aptos"/>
          <w:sz w:val="17"/>
          <w:szCs w:val="17"/>
          <w:lang w:val="fr-FR"/>
        </w:rPr>
        <w:t>01:02:</w:t>
      </w:r>
      <w:proofErr w:type="gramEnd"/>
      <w:r>
        <w:rPr>
          <w:rFonts w:eastAsia="Aptos" w:cs="Aptos"/>
          <w:sz w:val="17"/>
          <w:szCs w:val="17"/>
          <w:lang w:val="fr-FR"/>
        </w:rPr>
        <w:t xml:space="preserve">12, </w:t>
      </w:r>
      <w:proofErr w:type="gramStart"/>
      <w:r>
        <w:rPr>
          <w:rFonts w:eastAsia="Aptos" w:cs="Aptos"/>
          <w:sz w:val="17"/>
          <w:szCs w:val="17"/>
          <w:lang w:val="fr-FR"/>
        </w:rPr>
        <w:t>01:19:</w:t>
      </w:r>
      <w:proofErr w:type="gramEnd"/>
      <w:r>
        <w:rPr>
          <w:rFonts w:eastAsia="Aptos" w:cs="Aptos"/>
          <w:sz w:val="17"/>
          <w:szCs w:val="17"/>
          <w:lang w:val="fr-FR"/>
        </w:rPr>
        <w:t xml:space="preserve">40] </w:t>
      </w:r>
    </w:p>
    <w:p>
      <w:pPr>
        <w:pStyle w:val="Listepuces"/>
        <w:rPr>
          <w:sz w:val="17"/>
          <w:szCs w:val="17"/>
          <w:lang w:val="fr-FR"/>
        </w:rPr>
      </w:pPr>
      <w:r>
        <w:rPr>
          <w:rFonts w:eastAsia="Aptos" w:cs="Aptos"/>
          <w:sz w:val="17"/>
          <w:szCs w:val="17"/>
          <w:lang w:val="fr-FR"/>
        </w:rPr>
        <w:t>Un</w:t>
      </w:r>
      <w:r>
        <w:rPr>
          <w:rFonts w:eastAsia="Aptos" w:cs="Aptos"/>
          <w:sz w:val="17"/>
          <w:szCs w:val="17"/>
          <w:lang w:val="fr-FR"/>
        </w:rPr>
        <w:t xml:space="preserve"> riverain signale que lorsque ces bassin et ruisseaux ont été créés, il y a 170 ans, l’eau de ville n’arrivait pas au 5 quai de la Ruelle ; l’eau venait des nombreuses sources et puits. Les bassins et ruisseaux étaient donc alimentés naturellement et non artificiellement. [Analyse du riverain, §6-7]   </w:t>
      </w:r>
    </w:p>
    <w:p>
      <w:pPr>
        <w:pStyle w:val="Titre1"/>
        <w:spacing w:before="120" w:after="60"/>
        <w:rPr>
          <w:lang w:val="fr-FR"/>
        </w:rPr>
      </w:pPr>
      <w:r>
        <w:rPr>
          <w:lang w:val="fr-FR"/>
        </w:rPr>
        <w:t>2. PROBLÈMES ET RISQUES À SÉCURISER</w:t>
      </w:r>
    </w:p>
    <w:p>
      <w:pPr>
        <w:pStyle w:val="Listepuces"/>
        <w:rPr>
          <w:sz w:val="17"/>
          <w:szCs w:val="17"/>
          <w:lang w:val="fr-FR" w:eastAsia="fr-FR"/>
        </w:rPr>
      </w:pPr>
      <w:r>
        <w:rPr>
          <w:rFonts w:eastAsia="Aptos" w:cs="Aptos"/>
          <w:sz w:val="17"/>
          <w:szCs w:val="17"/>
          <w:lang w:val="fr-FR" w:eastAsia="fr-FR"/>
        </w:rPr>
        <w:t xml:space="preserve">La construction du bâtiment C ainsi que la zone d’accueil sur la partie basse limitrophe du quai va supprimer environ 1/3 du parc arboré actuel de Chantemerle et de la zone humide au détriment de sa biodiversité, faune (batraciens, reptiles, écureuils, hérissons, renards, oiseaux </w:t>
      </w:r>
      <w:proofErr w:type="gramStart"/>
      <w:r>
        <w:rPr>
          <w:rFonts w:eastAsia="Aptos" w:cs="Aptos"/>
          <w:sz w:val="17"/>
          <w:szCs w:val="17"/>
          <w:lang w:val="fr-FR" w:eastAsia="fr-FR"/>
        </w:rPr>
        <w:t>… )</w:t>
      </w:r>
      <w:proofErr w:type="gramEnd"/>
      <w:r>
        <w:rPr>
          <w:rFonts w:eastAsia="Aptos" w:cs="Aptos"/>
          <w:sz w:val="17"/>
          <w:szCs w:val="17"/>
          <w:lang w:val="fr-FR" w:eastAsia="fr-FR"/>
        </w:rPr>
        <w:t xml:space="preserve"> et de ses arbres malgré les nombreuses protections environnementales annoncées, notamment le classement en jardin remarquable.</w:t>
      </w:r>
      <w:r>
        <w:rPr>
          <w:rFonts w:eastAsia="Aptos" w:cs="Aptos"/>
          <w:sz w:val="17"/>
          <w:szCs w:val="17"/>
          <w:lang w:val="fr-FR"/>
        </w:rPr>
        <w:t xml:space="preserve"> [Analyse du riverain, §7]   </w:t>
      </w:r>
    </w:p>
    <w:p>
      <w:pPr>
        <w:pStyle w:val="Listepuces"/>
        <w:rPr>
          <w:sz w:val="17"/>
          <w:szCs w:val="17"/>
          <w:lang w:val="fr-FR"/>
        </w:rPr>
      </w:pPr>
      <w:proofErr w:type="gramStart"/>
      <w:r>
        <w:rPr>
          <w:rFonts w:eastAsia="Aptos" w:cs="Aptos"/>
          <w:sz w:val="17"/>
          <w:szCs w:val="17"/>
          <w:lang w:val="fr-FR"/>
        </w:rPr>
        <w:t>le</w:t>
      </w:r>
      <w:proofErr w:type="gramEnd"/>
      <w:r>
        <w:rPr>
          <w:rFonts w:eastAsia="Aptos" w:cs="Aptos"/>
          <w:sz w:val="17"/>
          <w:szCs w:val="17"/>
          <w:lang w:val="fr-FR"/>
        </w:rPr>
        <w:t xml:space="preserve"> PLU tel qu’il était avant l’établissement du PLUi aurait interdit la construction du bâtiment C. Or, ce PLUi est fortement mis en question par les associations environnementales, notamment parce que le zonage des bords de Seine ne permet plus une réelle protection des paysages ni de la biodiversité. Ce zonage contredit même les prescriptions spécifiques du PLUi concernant les boucles de la Seine.</w:t>
      </w:r>
      <w:r>
        <w:rPr>
          <w:rFonts w:eastAsia="Aptos" w:cs="Aptos"/>
          <w:sz w:val="17"/>
          <w:szCs w:val="17"/>
          <w:lang w:val="fr-FR"/>
        </w:rPr>
        <w:tab/>
      </w:r>
    </w:p>
    <w:p>
      <w:pPr>
        <w:pStyle w:val="Listepuces"/>
        <w:rPr>
          <w:sz w:val="17"/>
          <w:szCs w:val="17"/>
          <w:lang w:val="fr-FR"/>
        </w:rPr>
      </w:pPr>
      <w:r>
        <w:rPr>
          <w:rFonts w:eastAsia="Aptos" w:cs="Aptos"/>
          <w:sz w:val="17"/>
          <w:szCs w:val="17"/>
          <w:lang w:val="fr-FR"/>
        </w:rPr>
        <w:t>La surface globale d’espaces verts ne renseigne pas sur la qualité écologique, les arbres matures ni les habitats supprimés ou modifiés.</w:t>
      </w:r>
    </w:p>
    <w:p>
      <w:pPr>
        <w:pStyle w:val="Listepuces"/>
        <w:rPr>
          <w:sz w:val="17"/>
          <w:szCs w:val="17"/>
          <w:lang w:val="fr-FR"/>
        </w:rPr>
      </w:pPr>
      <w:r>
        <w:rPr>
          <w:rFonts w:eastAsia="Aptos" w:cs="Aptos"/>
          <w:sz w:val="17"/>
          <w:szCs w:val="17"/>
          <w:lang w:val="fr-FR"/>
        </w:rPr>
        <w:t>Le comblement des bassins soulève des questions sur les écoulements et les habitats potentiels d’amphibiens ; leur statut écologique ou réglementaire doit être établi.</w:t>
      </w:r>
    </w:p>
    <w:p>
      <w:pPr>
        <w:pStyle w:val="Listepuces"/>
        <w:rPr>
          <w:sz w:val="17"/>
          <w:szCs w:val="17"/>
          <w:lang w:val="fr-FR"/>
        </w:rPr>
      </w:pPr>
      <w:r>
        <w:rPr>
          <w:rFonts w:eastAsia="Aptos" w:cs="Aptos"/>
          <w:sz w:val="17"/>
          <w:szCs w:val="17"/>
          <w:lang w:val="fr-FR"/>
        </w:rPr>
        <w:t>Risques à vérifier : dommages racinaires, perte de canopée, fragmentation des continuités écologiques et destruction éventuelle d’habitats protégés.</w:t>
      </w:r>
    </w:p>
    <w:p>
      <w:pPr>
        <w:pStyle w:val="Titre1"/>
        <w:spacing w:before="120" w:after="60"/>
      </w:pPr>
      <w:r>
        <w:t>3. PROPOSITIONS — MODIFICATIONS ET GARANTIES</w:t>
      </w:r>
    </w:p>
    <w:p>
      <w:pPr>
        <w:pStyle w:val="Listepuces"/>
        <w:rPr>
          <w:sz w:val="17"/>
          <w:szCs w:val="17"/>
          <w:lang w:val="fr-FR"/>
        </w:rPr>
      </w:pPr>
      <w:r>
        <w:rPr>
          <w:rFonts w:eastAsia="Aptos" w:cs="Aptos"/>
          <w:sz w:val="17"/>
          <w:szCs w:val="17"/>
          <w:lang w:val="fr-FR"/>
        </w:rPr>
        <w:t>Réaliser un diagnostic écologique de terrain et un inventaire géolocalisé des arbres (essence, état, conservation/abattage), avec plan superposé au projet.</w:t>
      </w:r>
    </w:p>
    <w:p>
      <w:pPr>
        <w:pStyle w:val="Listepuces"/>
        <w:rPr>
          <w:sz w:val="17"/>
          <w:szCs w:val="17"/>
          <w:lang w:val="fr-FR"/>
        </w:rPr>
      </w:pPr>
      <w:r>
        <w:rPr>
          <w:rFonts w:eastAsia="Aptos" w:cs="Aptos"/>
          <w:sz w:val="17"/>
          <w:szCs w:val="17"/>
          <w:lang w:val="fr-FR"/>
        </w:rPr>
        <w:t>Documenter la nature, l’historique et les effets du comblement des bassins, y compris sur les espèces et les écoulements ; vérifier les obligations réglementaires applicables.</w:t>
      </w:r>
    </w:p>
    <w:p>
      <w:pPr>
        <w:pStyle w:val="Listepuces"/>
        <w:rPr>
          <w:sz w:val="17"/>
          <w:szCs w:val="17"/>
          <w:lang w:val="fr-FR"/>
        </w:rPr>
      </w:pPr>
      <w:r>
        <w:rPr>
          <w:rFonts w:eastAsia="Aptos" w:cs="Aptos"/>
          <w:sz w:val="17"/>
          <w:szCs w:val="17"/>
          <w:lang w:val="fr-FR"/>
        </w:rPr>
        <w:t>Appliquer une démarche éviter–réduire–compenser et privilégier une implantation protégeant les arbres remarquables et leurs zones racinaires.</w:t>
      </w:r>
    </w:p>
    <w:p>
      <w:pPr>
        <w:pStyle w:val="Listepuces"/>
        <w:rPr>
          <w:sz w:val="17"/>
          <w:szCs w:val="17"/>
          <w:lang w:val="fr-FR"/>
        </w:rPr>
      </w:pPr>
      <w:r>
        <w:rPr>
          <w:rFonts w:eastAsia="Aptos" w:cs="Aptos"/>
          <w:sz w:val="17"/>
          <w:szCs w:val="17"/>
          <w:lang w:val="fr-FR"/>
        </w:rPr>
        <w:t>Publier un plan de protection des arbres pendant les travaux et un plan de gestion écologique du parc avec suivi.</w:t>
      </w:r>
    </w:p>
    <w:p>
      <w:pPr>
        <w:pStyle w:val="Listepuces"/>
        <w:rPr>
          <w:sz w:val="17"/>
          <w:szCs w:val="17"/>
          <w:lang w:val="fr-FR"/>
        </w:rPr>
      </w:pPr>
      <w:r>
        <w:rPr>
          <w:rFonts w:eastAsia="Aptos" w:cs="Aptos"/>
          <w:sz w:val="17"/>
          <w:szCs w:val="17"/>
          <w:lang w:val="fr-FR"/>
        </w:rPr>
        <w:t>Prendre en considération des alternatives sans construction du bâtiment C</w:t>
      </w:r>
    </w:p>
    <w:p>
      <w:pPr>
        <w:pStyle w:val="Titre2"/>
        <w:spacing w:before="120" w:after="60"/>
        <w:rPr>
          <w:lang w:val="fr-FR"/>
        </w:rPr>
      </w:pPr>
      <w:r>
        <w:rPr>
          <w:lang w:val="fr-FR"/>
        </w:rPr>
        <w:t>Contribution personnelle — à adapter</w:t>
      </w:r>
    </w:p>
    <w:p>
      <w:pPr>
        <w:rPr>
          <w:lang w:val="fr-FR"/>
        </w:rPr>
      </w:pPr>
      <w:r>
        <w:rPr>
          <w:lang w:val="fr-FR"/>
        </w:rPr>
        <w:t>Je demande que les points ci-dessus soient examinés et que les études, réponses et engagements retenus soient rendus publics avant la finalisation du projet.</w:t>
      </w:r>
    </w:p>
    <w:p>
      <w:pPr>
        <w:rPr>
          <w:lang w:val="fr-FR"/>
        </w:rPr>
      </w:pPr>
      <w:r>
        <w:rPr>
          <w:lang w:val="fr-FR"/>
        </w:rPr>
        <w:t>Nom (facultatif selon les modalités officielles) : _____________________    Date : __________</w:t>
      </w:r>
    </w:p>
    <w:p>
      <w:pPr>
        <w:rPr>
          <w:lang w:val="fr-FR"/>
        </w:rPr>
      </w:pPr>
      <w:r>
        <w:rPr>
          <w:i/>
          <w:sz w:val="16"/>
          <w:lang w:val="fr-FR"/>
        </w:rPr>
        <w:t>Sources : diaporama des Ailes Déployées (23/09/2026) ; synthèse des questions/réponses issue d’une transcription automatique, à vérifier sur l’audio ; analyse écrite d’un riverain (témoignage et interrogations, non expertise indépendante). Les affirmations des intervenants ne valent pas validation technique ou juridique.</w:t>
      </w:r>
    </w:p>
    <w:sectPr>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Pieddepage"/>
      <w:jc w:val="center"/>
    </w:pPr>
    <w:r>
      <w:rPr>
        <w:sz w:val="16"/>
      </w:rPr>
      <w:t xml:space="preserve">Fiche </w:t>
    </w:r>
    <w:proofErr w:type="spellStart"/>
    <w:r>
      <w:rPr>
        <w:sz w:val="16"/>
      </w:rPr>
      <w:t>thématique</w:t>
    </w:r>
    <w:proofErr w:type="spellEnd"/>
    <w:r>
      <w:rPr>
        <w:sz w:val="16"/>
      </w:rPr>
      <w:t xml:space="preserve"> • </w:t>
    </w:r>
    <w:proofErr w:type="spellStart"/>
    <w:r>
      <w:rPr>
        <w:sz w:val="16"/>
      </w:rPr>
      <w:t>Chantemerle</w:t>
    </w:r>
    <w:proofErr w:type="spellEnd"/>
    <w:r>
      <w:rPr>
        <w:sz w:val="16"/>
      </w:rPr>
      <w:t xml:space="preserve"> • Octobre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C1E02FD0"/>
    <w:lvl w:ilvl="0">
      <w:start w:val="1"/>
      <w:numFmt w:val="bullet"/>
      <w:pStyle w:val="Listepuces"/>
      <w:lvlText w:val=""/>
      <w:lvlJc w:val="left"/>
      <w:pPr>
        <w:tabs>
          <w:tab w:val="num" w:pos="360"/>
        </w:tabs>
        <w:ind w:left="360" w:hanging="360"/>
      </w:pPr>
      <w:rPr>
        <w:rFonts w:ascii="Symbol" w:hAnsi="Symbol" w:hint="default"/>
      </w:rPr>
    </w:lvl>
  </w:abstractNum>
  <w:num w:numId="1" w16cid:durableId="733620297">
    <w:abstractNumId w:val="8"/>
  </w:num>
  <w:num w:numId="2" w16cid:durableId="1857424843">
    <w:abstractNumId w:val="6"/>
  </w:num>
  <w:num w:numId="3" w16cid:durableId="1847330651">
    <w:abstractNumId w:val="5"/>
  </w:num>
  <w:num w:numId="4" w16cid:durableId="648898809">
    <w:abstractNumId w:val="4"/>
  </w:num>
  <w:num w:numId="5" w16cid:durableId="93985920">
    <w:abstractNumId w:val="7"/>
  </w:num>
  <w:num w:numId="6" w16cid:durableId="2008285888">
    <w:abstractNumId w:val="3"/>
  </w:num>
  <w:num w:numId="7" w16cid:durableId="31855522">
    <w:abstractNumId w:val="2"/>
  </w:num>
  <w:num w:numId="8" w16cid:durableId="582446311">
    <w:abstractNumId w:val="1"/>
  </w:num>
  <w:num w:numId="9" w16cid:durableId="1779787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38B3"/>
    <w:rsid w:val="002C3DDD"/>
    <w:rsid w:val="006138B3"/>
    <w:rsid w:val="00CC2BB2"/>
    <w:rsid w:val="00FA29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65A9E6"/>
  <w14:defaultImageDpi w14:val="300"/>
  <w15:docId w15:val="{5556D03D-D8FF-4C38-AF5C-451F8461E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0"/>
    </w:pPr>
    <w:rPr>
      <w:rFonts w:ascii="Aptos" w:hAnsi="Aptos"/>
      <w:sz w:val="18"/>
    </w:rPr>
  </w:style>
  <w:style w:type="paragraph" w:styleId="Titre1">
    <w:name w:val="heading 1"/>
    <w:basedOn w:val="Normal"/>
    <w:next w:val="Normal"/>
    <w:link w:val="Titre1C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680"/>
        <w:tab w:val="right" w:pos="9360"/>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680"/>
        <w:tab w:val="right" w:pos="9360"/>
      </w:tabs>
      <w:spacing w:after="0" w:line="240" w:lineRule="auto"/>
    </w:pPr>
  </w:style>
  <w:style w:type="character" w:customStyle="1" w:styleId="PieddepageCar">
    <w:name w:val="Pied de page Car"/>
    <w:basedOn w:val="Policepardfaut"/>
    <w:link w:val="Pieddepage"/>
    <w:uiPriority w:val="99"/>
  </w:style>
  <w:style w:type="paragraph" w:styleId="Sansinterligne">
    <w:name w:val="No Spacing"/>
    <w:uiPriority w:val="1"/>
    <w:qFormat/>
    <w:pPr>
      <w:spacing w:after="0" w:line="240" w:lineRule="auto"/>
    </w:pPr>
  </w:style>
  <w:style w:type="character" w:customStyle="1" w:styleId="Titre1Car">
    <w:name w:val="Titre 1 Car"/>
    <w:basedOn w:val="Policepardfaut"/>
    <w:link w:val="Titre1"/>
    <w:uiPriority w:val="9"/>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pPr>
      <w:ind w:left="720"/>
      <w:contextualSpacing/>
    </w:pPr>
  </w:style>
  <w:style w:type="paragraph" w:styleId="Corpsdetexte">
    <w:name w:val="Body Text"/>
    <w:basedOn w:val="Normal"/>
    <w:link w:val="CorpsdetexteCar"/>
    <w:uiPriority w:val="99"/>
    <w:unhideWhenUsed/>
    <w:pPr>
      <w:spacing w:after="120"/>
    </w:pPr>
  </w:style>
  <w:style w:type="character" w:customStyle="1" w:styleId="CorpsdetexteCar">
    <w:name w:val="Corps de texte Car"/>
    <w:basedOn w:val="Policepardfaut"/>
    <w:link w:val="Corpsdetexte"/>
    <w:uiPriority w:val="99"/>
  </w:style>
  <w:style w:type="paragraph" w:styleId="Corpsdetexte2">
    <w:name w:val="Body Text 2"/>
    <w:basedOn w:val="Normal"/>
    <w:link w:val="Corpsdetexte2Car"/>
    <w:uiPriority w:val="99"/>
    <w:unhideWhenUsed/>
    <w:pPr>
      <w:spacing w:after="120" w:line="480" w:lineRule="auto"/>
    </w:pPr>
  </w:style>
  <w:style w:type="character" w:customStyle="1" w:styleId="Corpsdetexte2Car">
    <w:name w:val="Corps de texte 2 Car"/>
    <w:basedOn w:val="Policepardfaut"/>
    <w:link w:val="Corpsdetexte2"/>
    <w:uiPriority w:val="99"/>
  </w:style>
  <w:style w:type="paragraph" w:styleId="Corpsdetexte3">
    <w:name w:val="Body Text 3"/>
    <w:basedOn w:val="Normal"/>
    <w:link w:val="Corpsdetexte3Car"/>
    <w:uiPriority w:val="99"/>
    <w:unhideWhenUsed/>
    <w:pPr>
      <w:spacing w:after="120"/>
    </w:pPr>
    <w:rPr>
      <w:sz w:val="16"/>
      <w:szCs w:val="16"/>
    </w:rPr>
  </w:style>
  <w:style w:type="character" w:customStyle="1" w:styleId="Corpsdetexte3Car">
    <w:name w:val="Corps de texte 3 Car"/>
    <w:basedOn w:val="Policepardfaut"/>
    <w:link w:val="Corpsdetexte3"/>
    <w:uiPriority w:val="99"/>
    <w:rPr>
      <w:sz w:val="16"/>
      <w:szCs w:val="16"/>
    </w:rPr>
  </w:style>
  <w:style w:type="paragraph" w:styleId="Liste">
    <w:name w:val="List"/>
    <w:basedOn w:val="Normal"/>
    <w:uiPriority w:val="99"/>
    <w:unhideWhenUsed/>
    <w:pPr>
      <w:ind w:left="360" w:hanging="360"/>
      <w:contextualSpacing/>
    </w:pPr>
  </w:style>
  <w:style w:type="paragraph" w:styleId="Liste2">
    <w:name w:val="List 2"/>
    <w:basedOn w:val="Normal"/>
    <w:uiPriority w:val="99"/>
    <w:unhideWhenUsed/>
    <w:pPr>
      <w:ind w:left="720" w:hanging="360"/>
      <w:contextualSpacing/>
    </w:pPr>
  </w:style>
  <w:style w:type="paragraph" w:styleId="Liste3">
    <w:name w:val="List 3"/>
    <w:basedOn w:val="Normal"/>
    <w:uiPriority w:val="99"/>
    <w:unhideWhenUsed/>
    <w:pPr>
      <w:ind w:left="1080" w:hanging="360"/>
      <w:contextualSpacing/>
    </w:pPr>
  </w:style>
  <w:style w:type="paragraph" w:styleId="Listepuces">
    <w:name w:val="List Bullet"/>
    <w:basedOn w:val="Normal"/>
    <w:uiPriority w:val="99"/>
    <w:unhideWhenUsed/>
    <w:pPr>
      <w:numPr>
        <w:numId w:val="1"/>
      </w:numPr>
      <w:contextualSpacing/>
    </w:pPr>
  </w:style>
  <w:style w:type="paragraph" w:styleId="Listepuces2">
    <w:name w:val="List Bullet 2"/>
    <w:basedOn w:val="Normal"/>
    <w:uiPriority w:val="99"/>
    <w:unhideWhenUsed/>
    <w:pPr>
      <w:numPr>
        <w:numId w:val="2"/>
      </w:numPr>
      <w:contextualSpacing/>
    </w:pPr>
  </w:style>
  <w:style w:type="paragraph" w:styleId="Listepuces3">
    <w:name w:val="List Bullet 3"/>
    <w:basedOn w:val="Normal"/>
    <w:uiPriority w:val="99"/>
    <w:unhideWhenUsed/>
    <w:pPr>
      <w:numPr>
        <w:numId w:val="3"/>
      </w:numPr>
      <w:contextualSpacing/>
    </w:pPr>
  </w:style>
  <w:style w:type="paragraph" w:styleId="Listenumros">
    <w:name w:val="List Number"/>
    <w:basedOn w:val="Normal"/>
    <w:uiPriority w:val="99"/>
    <w:unhideWhenUsed/>
    <w:pPr>
      <w:numPr>
        <w:numId w:val="5"/>
      </w:numPr>
      <w:contextualSpacing/>
    </w:pPr>
  </w:style>
  <w:style w:type="paragraph" w:styleId="Listenumros2">
    <w:name w:val="List Number 2"/>
    <w:basedOn w:val="Normal"/>
    <w:uiPriority w:val="99"/>
    <w:unhideWhenUsed/>
    <w:pPr>
      <w:numPr>
        <w:numId w:val="6"/>
      </w:numPr>
      <w:contextualSpacing/>
    </w:pPr>
  </w:style>
  <w:style w:type="paragraph" w:styleId="Listenumros3">
    <w:name w:val="List Number 3"/>
    <w:basedOn w:val="Normal"/>
    <w:uiPriority w:val="99"/>
    <w:unhideWhenUsed/>
    <w:pPr>
      <w:numPr>
        <w:numId w:val="7"/>
      </w:numPr>
      <w:contextualSpacing/>
    </w:pPr>
  </w:style>
  <w:style w:type="paragraph" w:styleId="Listecontinue">
    <w:name w:val="List Continue"/>
    <w:basedOn w:val="Normal"/>
    <w:uiPriority w:val="99"/>
    <w:unhideWhenUsed/>
    <w:pPr>
      <w:spacing w:after="120"/>
      <w:ind w:left="360"/>
      <w:contextualSpacing/>
    </w:pPr>
  </w:style>
  <w:style w:type="paragraph" w:styleId="Listecontinue2">
    <w:name w:val="List Continue 2"/>
    <w:basedOn w:val="Normal"/>
    <w:uiPriority w:val="99"/>
    <w:unhideWhenUsed/>
    <w:pPr>
      <w:spacing w:after="120"/>
      <w:ind w:left="720"/>
      <w:contextualSpacing/>
    </w:pPr>
  </w:style>
  <w:style w:type="paragraph" w:styleId="Listecontinue3">
    <w:name w:val="List Continue 3"/>
    <w:basedOn w:val="Normal"/>
    <w:uiPriority w:val="99"/>
    <w:unhideWhenUsed/>
    <w:pPr>
      <w:spacing w:after="120"/>
      <w:ind w:left="1080"/>
      <w:contextualSpacing/>
    </w:pPr>
  </w:style>
  <w:style w:type="paragraph" w:styleId="Textedemacro">
    <w:name w:val="macro"/>
    <w:link w:val="TextedemacroC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Pr>
      <w:rFonts w:ascii="Courier" w:hAnsi="Courier"/>
      <w:sz w:val="20"/>
      <w:szCs w:val="20"/>
    </w:rPr>
  </w:style>
  <w:style w:type="paragraph" w:styleId="Citation">
    <w:name w:val="Quote"/>
    <w:basedOn w:val="Normal"/>
    <w:next w:val="Normal"/>
    <w:link w:val="CitationCar"/>
    <w:uiPriority w:val="29"/>
    <w:qFormat/>
    <w:rPr>
      <w:i/>
      <w:iCs/>
      <w:color w:val="000000" w:themeColor="text1"/>
    </w:rPr>
  </w:style>
  <w:style w:type="character" w:customStyle="1" w:styleId="CitationCar">
    <w:name w:val="Citation Car"/>
    <w:basedOn w:val="Policepardfaut"/>
    <w:link w:val="Citation"/>
    <w:uiPriority w:val="29"/>
    <w:rPr>
      <w:i/>
      <w:iCs/>
      <w:color w:val="000000" w:themeColor="text1"/>
    </w:rPr>
  </w:style>
  <w:style w:type="character" w:customStyle="1" w:styleId="Titre4Car">
    <w:name w:val="Titre 4 Car"/>
    <w:basedOn w:val="Policepardfaut"/>
    <w:link w:val="Titre4"/>
    <w:uiPriority w:val="9"/>
    <w:semiHidden/>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pPr>
      <w:spacing w:line="240" w:lineRule="auto"/>
    </w:pPr>
    <w:rPr>
      <w:b/>
      <w:bCs/>
      <w:color w:val="4F81BD" w:themeColor="accent1"/>
      <w:szCs w:val="18"/>
    </w:rPr>
  </w:style>
  <w:style w:type="character" w:styleId="lev">
    <w:name w:val="Strong"/>
    <w:basedOn w:val="Policepardfaut"/>
    <w:uiPriority w:val="22"/>
    <w:qFormat/>
    <w:rPr>
      <w:b/>
      <w:bCs/>
    </w:rPr>
  </w:style>
  <w:style w:type="character" w:styleId="Accentuation">
    <w:name w:val="Emphasis"/>
    <w:basedOn w:val="Policepardfaut"/>
    <w:uiPriority w:val="20"/>
    <w:qFormat/>
    <w:rPr>
      <w:i/>
      <w:iCs/>
    </w:rPr>
  </w:style>
  <w:style w:type="paragraph" w:styleId="Citationintense">
    <w:name w:val="Intense Quote"/>
    <w:basedOn w:val="Normal"/>
    <w:next w:val="Normal"/>
    <w:link w:val="CitationintenseC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Pr>
      <w:b/>
      <w:bCs/>
      <w:i/>
      <w:iCs/>
      <w:color w:val="4F81BD" w:themeColor="accent1"/>
    </w:rPr>
  </w:style>
  <w:style w:type="character" w:styleId="Accentuationlgre">
    <w:name w:val="Subtle Emphasis"/>
    <w:basedOn w:val="Policepardfaut"/>
    <w:uiPriority w:val="19"/>
    <w:qFormat/>
    <w:rPr>
      <w:i/>
      <w:iCs/>
      <w:color w:val="808080" w:themeColor="text1" w:themeTint="7F"/>
    </w:rPr>
  </w:style>
  <w:style w:type="character" w:styleId="Accentuationintense">
    <w:name w:val="Intense Emphasis"/>
    <w:basedOn w:val="Policepardfaut"/>
    <w:uiPriority w:val="21"/>
    <w:qFormat/>
    <w:rPr>
      <w:b/>
      <w:bCs/>
      <w:i/>
      <w:iCs/>
      <w:color w:val="4F81BD" w:themeColor="accent1"/>
    </w:rPr>
  </w:style>
  <w:style w:type="character" w:styleId="Rfrencelgre">
    <w:name w:val="Subtle Reference"/>
    <w:basedOn w:val="Policepardfaut"/>
    <w:uiPriority w:val="31"/>
    <w:qFormat/>
    <w:rPr>
      <w:smallCaps/>
      <w:color w:val="C0504D" w:themeColor="accent2"/>
      <w:u w:val="single"/>
    </w:rPr>
  </w:style>
  <w:style w:type="character" w:styleId="Rfrenceintense">
    <w:name w:val="Intense Reference"/>
    <w:basedOn w:val="Policepardfaut"/>
    <w:uiPriority w:val="32"/>
    <w:qFormat/>
    <w:rPr>
      <w:b/>
      <w:bCs/>
      <w:smallCaps/>
      <w:color w:val="C0504D" w:themeColor="accent2"/>
      <w:spacing w:val="5"/>
      <w:u w:val="single"/>
    </w:rPr>
  </w:style>
  <w:style w:type="character" w:styleId="Titredulivre">
    <w:name w:val="Book Title"/>
    <w:basedOn w:val="Policepardfaut"/>
    <w:uiPriority w:val="33"/>
    <w:qFormat/>
    <w:rPr>
      <w:b/>
      <w:bCs/>
      <w:smallCaps/>
      <w:spacing w:val="5"/>
    </w:rPr>
  </w:style>
  <w:style w:type="paragraph" w:styleId="En-ttedetabledesmatires">
    <w:name w:val="TOC Heading"/>
    <w:basedOn w:val="Titre1"/>
    <w:next w:val="Normal"/>
    <w:uiPriority w:val="39"/>
    <w:semiHidden/>
    <w:unhideWhenUsed/>
    <w:qFormat/>
    <w:pPr>
      <w:outlineLvl w:val="9"/>
    </w:pPr>
  </w:style>
  <w:style w:type="table" w:styleId="Grilledutableau">
    <w:name w:val="Table Grid"/>
    <w:basedOn w:val="Tableau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