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Sous-titre"/>
        <w:rPr>
          <w:lang w:val="fr-FR"/>
        </w:rPr>
      </w:pPr>
      <w:proofErr w:type="gramStart"/>
      <w:r>
        <w:rPr>
          <w:lang w:val="fr-FR"/>
        </w:rPr>
        <w:t>CHANTEMERLE  |</w:t>
      </w:r>
      <w:proofErr w:type="gramEnd"/>
      <w:r>
        <w:rPr>
          <w:lang w:val="fr-FR"/>
        </w:rPr>
        <w:t xml:space="preserve">  CONTRIBUTION THÉMATIQUE</w:t>
      </w:r>
    </w:p>
    <w:p>
      <w:pPr>
        <w:pStyle w:val="Titre"/>
        <w:rPr>
          <w:lang w:val="fr-FR"/>
        </w:rPr>
      </w:pPr>
      <w:r>
        <w:rPr>
          <w:lang w:val="fr-FR"/>
        </w:rPr>
        <w:t>Stationnement et mobilités</w:t>
      </w:r>
    </w:p>
    <w:p>
      <w:pPr>
        <w:rPr>
          <w:lang w:val="fr-FR"/>
        </w:rPr>
      </w:pPr>
      <w:r>
        <w:rPr>
          <w:i/>
          <w:lang w:val="fr-FR"/>
        </w:rPr>
        <w:t>Document de travail à personnaliser — concertation sur le projet présenté le 23 septembre 2026.</w:t>
      </w:r>
    </w:p>
    <w:p>
      <w:pPr>
        <w:pStyle w:val="Titre1"/>
        <w:spacing w:before="120" w:after="60"/>
      </w:pPr>
      <w:r>
        <w:rPr/>
        <w:t>1. ÉLÉMENTS DU PROJET — FAITS ANNONCÉS</w:t>
      </w:r>
    </w:p>
    <w:p>
      <w:pPr>
        <w:pStyle w:val="Listepuces"/>
      </w:pPr>
      <w:r>
        <w:rPr>
          <w:rFonts w:ascii="Aptos" w:hAnsi="Aptos" w:eastAsia="Aptos" w:cs="Aptos"/>
          <w:sz w:val="18"/>
          <w:lang w:val="fr-FR"/>
        </w:rPr>
        <w:t xml:space="preserve">Le diaporama annonce 32 places de stationnement sur site, pour 32 logements du bâtiment B et 16 logements du bâtiment C, en plus des activités de la villa. </w:t>
      </w:r>
      <w:r>
        <w:rPr>
          <w:rFonts w:ascii="Aptos" w:hAnsi="Aptos" w:eastAsia="Aptos" w:cs="Aptos"/>
          <w:sz w:val="18"/>
        </w:rPr>
        <w:t>[</w:t>
      </w:r>
      <w:proofErr w:type="spellStart"/>
      <w:r>
        <w:rPr>
          <w:rFonts w:ascii="Aptos" w:hAnsi="Aptos" w:eastAsia="Aptos" w:cs="Aptos"/>
          <w:sz w:val="18"/>
        </w:rPr>
        <w:t>Diaporama</w:t>
      </w:r>
      <w:proofErr w:type="spellEnd"/>
      <w:r>
        <w:rPr>
          <w:rFonts w:ascii="Aptos" w:hAnsi="Aptos" w:eastAsia="Aptos" w:cs="Aptos"/>
          <w:sz w:val="18"/>
        </w:rPr>
        <w:t xml:space="preserve"> p. 12, 16, 18-20]</w:t>
      </w:r>
    </w:p>
    <w:p>
      <w:pPr>
        <w:pStyle w:val="Listepuces"/>
      </w:pPr>
      <w:r>
        <w:rPr>
          <w:rFonts w:ascii="Aptos" w:hAnsi="Aptos" w:eastAsia="Aptos" w:cs="Aptos"/>
          <w:sz w:val="18"/>
          <w:lang w:val="fr-FR"/>
        </w:rPr>
        <w:t xml:space="preserve">Le porteur de projet indique un minimum réglementaire de huit places, chiffre présenté comme provisoire et non vérifié indépendamment. </w:t>
      </w:r>
      <w:r>
        <w:rPr>
          <w:rFonts w:ascii="Aptos" w:hAnsi="Aptos" w:eastAsia="Aptos" w:cs="Aptos"/>
          <w:sz w:val="18"/>
        </w:rPr>
        <w:t>[</w:t>
      </w:r>
      <w:proofErr w:type="spellStart"/>
      <w:r>
        <w:rPr>
          <w:rFonts w:ascii="Aptos" w:hAnsi="Aptos" w:eastAsia="Aptos" w:cs="Aptos"/>
          <w:sz w:val="18"/>
        </w:rPr>
        <w:t>Diaporama</w:t>
      </w:r>
      <w:proofErr w:type="spellEnd"/>
      <w:r>
        <w:rPr>
          <w:rFonts w:ascii="Aptos" w:hAnsi="Aptos" w:eastAsia="Aptos" w:cs="Aptos"/>
          <w:sz w:val="18"/>
        </w:rPr>
        <w:t xml:space="preserve"> p. 16]</w:t>
      </w:r>
    </w:p>
    <w:p>
      <w:pPr>
        <w:pStyle w:val="Listepuces"/>
      </w:pPr>
      <w:r>
        <w:rPr>
          <w:rFonts w:ascii="Aptos" w:hAnsi="Aptos" w:eastAsia="Aptos" w:cs="Aptos"/>
          <w:sz w:val="18"/>
          <w:lang w:val="fr-FR"/>
        </w:rPr>
        <w:t xml:space="preserve">En séance, des places existantes et un sous-sol existant ont été évoqués ; la localisation précise et la répartition entre bâtiments n’ont pas été communiquées. Une réponse orale mentionne aussi « 30 places », contre 32 sur les diapositives. </w:t>
      </w:r>
      <w:r>
        <w:rPr>
          <w:rFonts w:ascii="Aptos" w:hAnsi="Aptos" w:eastAsia="Aptos" w:cs="Aptos"/>
          <w:sz w:val="18"/>
        </w:rPr>
        <w:t>[Q/R 00:44:31, 01:01:30]</w:t>
      </w:r>
    </w:p>
    <w:p>
      <w:pPr>
        <w:pStyle w:val="Listepuces"/>
        <w:rPr>
          <w:lang w:val="fr-FR"/>
        </w:rPr>
      </w:pPr>
      <w:r>
        <w:rPr>
          <w:rFonts w:ascii="Aptos" w:hAnsi="Aptos" w:eastAsia="Aptos" w:cs="Aptos"/>
          <w:sz w:val="18"/>
          <w:lang w:val="fr-FR"/>
        </w:rPr>
        <w:t xml:space="preserve">LAD estime les résidents de la résidence-accueil généralement peu motorisés ; aucune étude locale chiffrée n’est présentée. Un stationnement vélo important est évoqué sans capacité précisée. [Q/R </w:t>
      </w:r>
      <w:proofErr w:type="gramStart"/>
      <w:r>
        <w:rPr>
          <w:rFonts w:ascii="Aptos" w:hAnsi="Aptos" w:eastAsia="Aptos" w:cs="Aptos"/>
          <w:sz w:val="18"/>
          <w:lang w:val="fr-FR"/>
        </w:rPr>
        <w:t>00:56:</w:t>
      </w:r>
      <w:proofErr w:type="gramEnd"/>
      <w:r>
        <w:rPr>
          <w:rFonts w:ascii="Aptos" w:hAnsi="Aptos" w:eastAsia="Aptos" w:cs="Aptos"/>
          <w:sz w:val="18"/>
          <w:lang w:val="fr-FR"/>
        </w:rPr>
        <w:t xml:space="preserve">07, </w:t>
      </w:r>
      <w:proofErr w:type="gramStart"/>
      <w:r>
        <w:rPr>
          <w:rFonts w:ascii="Aptos" w:hAnsi="Aptos" w:eastAsia="Aptos" w:cs="Aptos"/>
          <w:sz w:val="18"/>
          <w:lang w:val="fr-FR"/>
        </w:rPr>
        <w:t>01:46:</w:t>
      </w:r>
      <w:proofErr w:type="gramEnd"/>
      <w:r>
        <w:rPr>
          <w:rFonts w:ascii="Aptos" w:hAnsi="Aptos" w:eastAsia="Aptos" w:cs="Aptos"/>
          <w:sz w:val="18"/>
          <w:lang w:val="fr-FR"/>
        </w:rPr>
        <w:t>43]</w:t>
      </w:r>
    </w:p>
    <w:p>
      <w:pPr>
        <w:pStyle w:val="Titre1"/>
        <w:spacing w:before="120" w:after="60"/>
      </w:pPr>
      <w:r>
        <w:rPr/>
        <w:t>2. PROBLÈMES ET RISQUES À SÉCURISER</w:t>
      </w:r>
    </w:p>
    <w:p>
      <w:pPr>
        <w:pStyle w:val="Listepuces"/>
        <w:rPr>
          <w:szCs w:val="18"/>
          <w:lang w:val="fr-FR"/>
        </w:rPr>
      </w:pPr>
      <w:r>
        <w:rPr>
          <w:rFonts w:cs="Aptos" w:ascii="Aptos" w:hAnsi="Aptos" w:eastAsia="Aptos"/>
          <w:color w:val="222222"/>
          <w:sz w:val="18"/>
          <w:szCs w:val="18"/>
          <w:shd w:val="clear" w:color="auto" w:fill="FFFFFF"/>
          <w:lang w:val="fr-FR"/>
        </w:rPr>
        <w:t>Les résidents du bâtiment B, dans leur cheminement vers l’autonomie et l’intégration par le travail, peuvent vouloir passer leur permis de conduire à l’auto-école près de la gare, et acquérir une voiture. Ces personnes pourraient aussi héberger chez elles quelqu’un qui possède une voiture. On ne peut pas compter sur le fait que ces résidents n’augmenteront pas la circulation ni les besoins en stationnement.</w:t>
      </w:r>
    </w:p>
    <w:p>
      <w:pPr>
        <w:pStyle w:val="Listepuces"/>
        <w:rPr>
          <w:szCs w:val="18"/>
          <w:lang w:val="fr-FR"/>
        </w:rPr>
      </w:pPr>
      <w:r>
        <w:rPr>
          <w:rFonts w:cs="Aptos" w:ascii="Aptos" w:hAnsi="Aptos" w:eastAsia="Aptos"/>
          <w:color w:val="222222"/>
          <w:sz w:val="18"/>
          <w:szCs w:val="18"/>
          <w:shd w:val="clear" w:color="auto" w:fill="FFFFFF"/>
          <w:lang w:val="fr-FR"/>
        </w:rPr>
        <w:t xml:space="preserve">Rien n’empêche les </w:t>
      </w:r>
      <w:r>
        <w:rPr>
          <w:rFonts w:cs="Aptos" w:ascii="Aptos" w:hAnsi="Aptos" w:eastAsia="Aptos"/>
          <w:color w:val="222222"/>
          <w:sz w:val="18"/>
          <w:szCs w:val="18"/>
          <w:shd w:val="clear" w:color="auto" w:fill="FFFFFF"/>
          <w:lang w:val="fr-FR"/>
        </w:rPr>
        <w:t>locataires</w:t>
      </w:r>
      <w:r>
        <w:rPr>
          <w:rFonts w:cs="Aptos" w:ascii="Aptos" w:hAnsi="Aptos" w:eastAsia="Aptos"/>
          <w:color w:val="222222"/>
          <w:sz w:val="18"/>
          <w:szCs w:val="18"/>
          <w:shd w:val="clear" w:color="auto" w:fill="FFFFFF"/>
          <w:lang w:val="fr-FR"/>
        </w:rPr>
        <w:t xml:space="preserve"> du bâtiment C d’avoir 2 voitures par logement.</w:t>
      </w:r>
    </w:p>
    <w:p>
      <w:pPr>
        <w:pStyle w:val="Listepuces"/>
        <w:rPr>
          <w:lang w:val="fr-FR"/>
        </w:rPr>
      </w:pPr>
      <w:r>
        <w:rPr>
          <w:rFonts w:ascii="Aptos" w:hAnsi="Aptos" w:eastAsia="Aptos" w:cs="Aptos"/>
          <w:sz w:val="18"/>
          <w:lang w:val="fr-FR"/>
        </w:rPr>
        <w:t>Le respect allégué du minimum réglementaire ne démontre pas l’adéquation des places aux besoins cumulés des résidents, visiteurs, salariés, consultations et livraisons.</w:t>
      </w:r>
    </w:p>
    <w:p>
      <w:pPr>
        <w:pStyle w:val="Listepuces"/>
        <w:rPr>
          <w:lang w:val="fr-FR"/>
        </w:rPr>
      </w:pPr>
      <w:r>
        <w:rPr>
          <w:rFonts w:ascii="Aptos" w:hAnsi="Aptos" w:eastAsia="Aptos" w:cs="Aptos"/>
          <w:sz w:val="18"/>
          <w:lang w:val="fr-FR"/>
        </w:rPr>
        <w:t>Risques à vérifier : saturation du parking, stationnement sur les voies adjacentes, accès difficiles, manque de places adaptées ou pour les vélos.</w:t>
      </w:r>
    </w:p>
    <w:p>
      <w:pPr>
        <w:pStyle w:val="Listepuces"/>
        <w:rPr>
          <w:lang w:val="fr-FR"/>
        </w:rPr>
      </w:pPr>
      <w:r>
        <w:rPr>
          <w:rFonts w:ascii="Aptos" w:hAnsi="Aptos" w:eastAsia="Aptos" w:cs="Aptos"/>
          <w:sz w:val="18"/>
          <w:lang w:val="fr-FR"/>
        </w:rPr>
        <w:t>Le nombre, la localisation et l’usage mutualisé des places restent à stabiliser.</w:t>
      </w:r>
    </w:p>
    <w:p>
      <w:pPr>
        <w:pStyle w:val="Titre1"/>
        <w:spacing w:before="120" w:after="60"/>
      </w:pPr>
      <w:r>
        <w:rPr/>
        <w:t>3. PROPOSITIONS — MODIFICATIONS ET GARANTIES</w:t>
      </w:r>
    </w:p>
    <w:p>
      <w:pPr>
        <w:pStyle w:val="Listepuces"/>
        <w:rPr>
          <w:lang w:val="fr-FR" w:eastAsia="fr-FR"/>
        </w:rPr>
      </w:pPr>
      <w:r>
        <w:rPr>
          <w:rFonts w:ascii="Aptos" w:hAnsi="Aptos" w:eastAsia="Aptos" w:cs="Aptos"/>
          <w:sz w:val="18"/>
          <w:lang w:val="fr-FR" w:eastAsia="fr-FR"/>
        </w:rPr>
        <w:t>Choisir pour le bâtiment B des résidents dont le traitement ne permet pas la conduite automobile ou qui s’engagent à ne pas acquérir de voiture</w:t>
      </w:r>
    </w:p>
    <w:p>
      <w:pPr>
        <w:pStyle w:val="Listepuces"/>
        <w:rPr>
          <w:lang w:val="fr-FR" w:eastAsia="fr-FR"/>
        </w:rPr>
      </w:pPr>
      <w:r>
        <w:rPr>
          <w:rFonts w:ascii="Aptos" w:hAnsi="Aptos" w:eastAsia="Aptos" w:cs="Aptos"/>
          <w:sz w:val="18"/>
          <w:lang w:val="fr-FR" w:eastAsia="fr-FR"/>
        </w:rPr>
        <w:t>Pour accéder à un logement dans le bâtiment B, poser la condition de n’héberger personne chez soi</w:t>
      </w:r>
    </w:p>
    <w:p>
      <w:pPr>
        <w:pStyle w:val="Listepuces"/>
        <w:rPr>
          <w:lang w:val="fr-FR" w:eastAsia="fr-FR"/>
        </w:rPr>
      </w:pPr>
      <w:r>
        <w:rPr>
          <w:rFonts w:ascii="Aptos" w:hAnsi="Aptos" w:eastAsia="Aptos" w:cs="Aptos"/>
          <w:sz w:val="18"/>
          <w:lang w:val="fr-FR" w:eastAsia="fr-FR"/>
        </w:rPr>
        <w:t>Mettre en place un système de navettes pour que les résidents puissent faire leurs courses facilement</w:t>
      </w:r>
    </w:p>
    <w:p>
      <w:pPr>
        <w:pStyle w:val="Listepuces"/>
        <w:rPr>
          <w:lang w:val="fr-FR"/>
        </w:rPr>
      </w:pPr>
      <w:r>
        <w:rPr>
          <w:rFonts w:ascii="Aptos" w:hAnsi="Aptos" w:eastAsia="Aptos" w:cs="Aptos"/>
          <w:sz w:val="18"/>
          <w:lang w:val="fr-FR"/>
        </w:rPr>
        <w:t>Fournir un plan coté des 32 places (existantes, créées, en sous-sol, accessibles) et leurs modalités d’accès et d’affectation.</w:t>
      </w:r>
    </w:p>
    <w:p>
      <w:pPr>
        <w:pStyle w:val="Listepuces"/>
        <w:rPr>
          <w:lang w:val="fr-FR"/>
        </w:rPr>
      </w:pPr>
      <w:r>
        <w:rPr>
          <w:rFonts w:ascii="Aptos" w:hAnsi="Aptos" w:eastAsia="Aptos" w:cs="Aptos"/>
          <w:sz w:val="18"/>
          <w:lang w:val="fr-FR"/>
        </w:rPr>
        <w:t>Réaliser une étude de demande par catégorie d’usagers, avec hypothèses de motorisation et périodes de pointe ; prévoir une réévaluation après ouverture.</w:t>
      </w:r>
    </w:p>
    <w:p>
      <w:pPr>
        <w:pStyle w:val="Listepuces"/>
        <w:rPr>
          <w:lang w:val="fr-FR"/>
        </w:rPr>
      </w:pPr>
      <w:r>
        <w:rPr>
          <w:rFonts w:ascii="Aptos" w:hAnsi="Aptos" w:eastAsia="Aptos" w:cs="Aptos"/>
          <w:sz w:val="18"/>
          <w:lang w:val="fr-FR"/>
        </w:rPr>
        <w:t>Si nécessaire, revoir le dimensionnement ou l’organisation des places et prévoir un dispositif anti-report sur les voies voisines, dans le respect de leurs statuts.</w:t>
      </w:r>
    </w:p>
    <w:p>
      <w:pPr>
        <w:pStyle w:val="Listepuces"/>
        <w:rPr>
          <w:lang w:val="fr-FR"/>
        </w:rPr>
      </w:pPr>
      <w:r>
        <w:rPr>
          <w:rFonts w:ascii="Aptos" w:hAnsi="Aptos" w:eastAsia="Aptos" w:cs="Aptos"/>
          <w:sz w:val="18"/>
          <w:lang w:val="fr-FR"/>
        </w:rPr>
        <w:t>Préciser la capacité des stationnements vélos et les solutions de mobilité alternatives.</w:t>
      </w:r>
    </w:p>
    <w:p>
      <w:pPr>
        <w:pStyle w:val="Listepuces"/>
        <w:rPr>
          <w:lang w:val="fr-FR"/>
        </w:rPr>
      </w:pPr>
      <w:r>
        <w:rPr>
          <w:rFonts w:ascii="Aptos" w:hAnsi="Aptos" w:eastAsia="Aptos" w:cs="Aptos"/>
          <w:sz w:val="18"/>
          <w:lang w:val="fr-FR"/>
        </w:rPr>
        <w:t>Prendre en considération des alternatives sans</w:t>
      </w:r>
      <w:r>
        <w:rPr>
          <w:rFonts w:ascii="Aptos" w:hAnsi="Aptos" w:eastAsia="Aptos" w:cs="Aptos"/>
          <w:sz w:val="18"/>
          <w:lang w:val="fr-FR"/>
        </w:rPr>
        <w:t xml:space="preserve"> construction du</w:t>
      </w:r>
      <w:r>
        <w:rPr>
          <w:rFonts w:ascii="Aptos" w:hAnsi="Aptos" w:eastAsia="Aptos" w:cs="Aptos"/>
          <w:sz w:val="18"/>
          <w:lang w:val="fr-FR"/>
        </w:rPr>
        <w:t xml:space="preserve"> bâtiment C</w:t>
      </w:r>
    </w:p>
    <w:p>
      <w:pPr>
        <w:pStyle w:val="Titre2"/>
        <w:spacing w:before="120" w:after="60"/>
        <w:rPr>
          <w:lang w:val="fr-FR"/>
        </w:rPr>
      </w:pPr>
      <w:r>
        <w:rPr>
          <w:lang w:val="fr-FR"/>
        </w:rPr>
        <w:t>Contribution personnelle — à adapter</w:t>
      </w:r>
    </w:p>
    <w:p>
      <w:pPr>
        <w:rPr>
          <w:lang w:val="fr-FR"/>
        </w:rPr>
      </w:pPr>
      <w:r>
        <w:rPr>
          <w:lang w:val="fr-FR"/>
        </w:rPr>
        <w:t>Je demande que les points ci-dessus soient examinés et que les études, réponses et engagements retenus soient rendus publics avant la finalisation du projet.</w:t>
      </w:r>
    </w:p>
    <w:p>
      <w:pPr>
        <w:rPr>
          <w:lang w:val="fr-FR"/>
        </w:rPr>
      </w:pPr>
      <w:r>
        <w:rPr>
          <w:lang w:val="fr-FR"/>
        </w:rPr>
        <w:t>Nom (facultatif selon les modalités officielles) : _____________________    Date : __________</w:t>
      </w:r>
    </w:p>
    <w:p>
      <w:pPr>
        <w:rPr>
          <w:lang w:val="fr-FR"/>
        </w:rPr>
      </w:pPr>
      <w:r>
        <w:rPr>
          <w:i/>
          <w:sz w:val="16"/>
          <w:lang w:val="fr-FR"/>
        </w:rPr>
        <w:t>Sources : diaporama des Ailes Déployées (23/09/2026) ; synthèse des questions/réponses issue d’une transcription automatique, à vérifier sur l’audio ; analyse écrite d’un riverain (témoignage et interrogations, non expertise indépendante). Les affirmations des intervenants ne valent pas validation technique ou juridique.</w:t>
      </w:r>
    </w:p>
    <w:sectPr>
      <w:footerReference w:type="default" r:id="rId8"/>
      <w:headerReference w:type="default" r:id="rId11"/>
      <w:pgSz w:w="12240" w:h="15840"/>
      <w:pgMar w:top="709" w:right="1134" w:bottom="68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Pieddepage"/>
      <w:jc w:val="center"/>
    </w:pPr>
    <w:r>
      <w:rPr>
        <w:sz w:val="16"/>
      </w:rPr>
      <w:t xml:space="preserve">Fiche </w:t>
    </w:r>
    <w:proofErr w:type="spellStart"/>
    <w:r>
      <w:rPr>
        <w:sz w:val="16"/>
      </w:rPr>
      <w:t>thématique</w:t>
    </w:r>
    <w:proofErr w:type="spellEnd"/>
    <w:r>
      <w:rPr>
        <w:sz w:val="16"/>
      </w:rPr>
      <w:t xml:space="preserve"> • </w:t>
    </w:r>
    <w:proofErr w:type="spellStart"/>
    <w:r>
      <w:rPr>
        <w:sz w:val="16"/>
      </w:rPr>
      <w:t>Chantemerle</w:t>
    </w:r>
    <w:proofErr w:type="spellEnd"/>
    <w:r>
      <w:rPr>
        <w:sz w:val="16"/>
      </w:rPr>
      <w:t xml:space="preserve"> • Octobre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952635695">
    <w:abstractNumId w:val="8"/>
  </w:num>
  <w:num w:numId="2" w16cid:durableId="253394071">
    <w:abstractNumId w:val="6"/>
  </w:num>
  <w:num w:numId="3" w16cid:durableId="1009605529">
    <w:abstractNumId w:val="5"/>
  </w:num>
  <w:num w:numId="4" w16cid:durableId="623272678">
    <w:abstractNumId w:val="4"/>
  </w:num>
  <w:num w:numId="5" w16cid:durableId="1164976806">
    <w:abstractNumId w:val="7"/>
  </w:num>
  <w:num w:numId="6" w16cid:durableId="195166706">
    <w:abstractNumId w:val="3"/>
  </w:num>
  <w:num w:numId="7" w16cid:durableId="2034066307">
    <w:abstractNumId w:val="2"/>
  </w:num>
  <w:num w:numId="8" w16cid:durableId="1191262913">
    <w:abstractNumId w:val="1"/>
  </w:num>
  <w:num w:numId="9" w16cid:durableId="734162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7C826D"/>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0"/>
    </w:pPr>
    <w:rPr>
      <w:rFonts w:ascii="Aptos" w:hAnsi="Aptos"/>
      <w:sz w:val="18"/>
    </w:rPr>
  </w:style>
  <w:style w:type="paragraph" w:styleId="Titre1">
    <w:name w:val="heading 1"/>
    <w:basedOn w:val="Normal"/>
    <w:next w:val="Normal"/>
    <w:link w:val="Titre1C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680"/>
        <w:tab w:val="right" w:pos="9360"/>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680"/>
        <w:tab w:val="right" w:pos="9360"/>
      </w:tabs>
      <w:spacing w:after="0" w:line="240" w:lineRule="auto"/>
    </w:pPr>
  </w:style>
  <w:style w:type="character" w:customStyle="1" w:styleId="PieddepageCar">
    <w:name w:val="Pied de page Car"/>
    <w:basedOn w:val="Policepardfaut"/>
    <w:link w:val="Pieddepage"/>
    <w:uiPriority w:val="99"/>
  </w:style>
  <w:style w:type="paragraph" w:styleId="Sansinterligne">
    <w:name w:val="No Spacing"/>
    <w:uiPriority w:val="1"/>
    <w:qFormat/>
    <w:pPr>
      <w:spacing w:after="0" w:line="240" w:lineRule="auto"/>
    </w:pPr>
  </w:style>
  <w:style w:type="character" w:customStyle="1" w:styleId="Titre1Car">
    <w:name w:val="Titre 1 Car"/>
    <w:basedOn w:val="Policepardfaut"/>
    <w:link w:val="Titre1"/>
    <w:uiPriority w:val="9"/>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pPr>
      <w:ind w:left="720"/>
      <w:contextualSpacing/>
    </w:pPr>
  </w:style>
  <w:style w:type="paragraph" w:styleId="Corpsdetexte">
    <w:name w:val="Body Text"/>
    <w:basedOn w:val="Normal"/>
    <w:link w:val="CorpsdetexteCar"/>
    <w:uiPriority w:val="99"/>
    <w:unhideWhenUsed/>
    <w:pPr>
      <w:spacing w:after="120"/>
    </w:pPr>
  </w:style>
  <w:style w:type="character" w:customStyle="1" w:styleId="CorpsdetexteCar">
    <w:name w:val="Corps de texte Car"/>
    <w:basedOn w:val="Policepardfaut"/>
    <w:link w:val="Corpsdetexte"/>
    <w:uiPriority w:val="99"/>
  </w:style>
  <w:style w:type="paragraph" w:styleId="Corpsdetexte2">
    <w:name w:val="Body Text 2"/>
    <w:basedOn w:val="Normal"/>
    <w:link w:val="Corpsdetexte2Car"/>
    <w:uiPriority w:val="99"/>
    <w:unhideWhenUsed/>
    <w:pPr>
      <w:spacing w:after="120" w:line="480" w:lineRule="auto"/>
    </w:pPr>
  </w:style>
  <w:style w:type="character" w:customStyle="1" w:styleId="Corpsdetexte2Car">
    <w:name w:val="Corps de texte 2 Car"/>
    <w:basedOn w:val="Policepardfaut"/>
    <w:link w:val="Corpsdetexte2"/>
    <w:uiPriority w:val="99"/>
  </w:style>
  <w:style w:type="paragraph" w:styleId="Corpsdetexte3">
    <w:name w:val="Body Text 3"/>
    <w:basedOn w:val="Normal"/>
    <w:link w:val="Corpsdetexte3Car"/>
    <w:uiPriority w:val="99"/>
    <w:unhideWhenUsed/>
    <w:pPr>
      <w:spacing w:after="120"/>
    </w:pPr>
    <w:rPr>
      <w:sz w:val="16"/>
      <w:szCs w:val="16"/>
    </w:rPr>
  </w:style>
  <w:style w:type="character" w:customStyle="1" w:styleId="Corpsdetexte3Car">
    <w:name w:val="Corps de texte 3 Car"/>
    <w:basedOn w:val="Policepardfaut"/>
    <w:link w:val="Corpsdetexte3"/>
    <w:uiPriority w:val="99"/>
    <w:rPr>
      <w:sz w:val="16"/>
      <w:szCs w:val="16"/>
    </w:rPr>
  </w:style>
  <w:style w:type="paragraph" w:styleId="Liste">
    <w:name w:val="List"/>
    <w:basedOn w:val="Normal"/>
    <w:uiPriority w:val="99"/>
    <w:unhideWhenUsed/>
    <w:pPr>
      <w:ind w:left="360" w:hanging="360"/>
      <w:contextualSpacing/>
    </w:pPr>
  </w:style>
  <w:style w:type="paragraph" w:styleId="Liste2">
    <w:name w:val="List 2"/>
    <w:basedOn w:val="Normal"/>
    <w:uiPriority w:val="99"/>
    <w:unhideWhenUsed/>
    <w:pPr>
      <w:ind w:left="720" w:hanging="360"/>
      <w:contextualSpacing/>
    </w:pPr>
  </w:style>
  <w:style w:type="paragraph" w:styleId="Liste3">
    <w:name w:val="List 3"/>
    <w:basedOn w:val="Normal"/>
    <w:uiPriority w:val="99"/>
    <w:unhideWhenUsed/>
    <w:pPr>
      <w:ind w:left="1080" w:hanging="360"/>
      <w:contextualSpacing/>
    </w:pPr>
  </w:style>
  <w:style w:type="paragraph" w:styleId="Listepuces">
    <w:name w:val="List Bullet"/>
    <w:basedOn w:val="Normal"/>
    <w:uiPriority w:val="99"/>
    <w:unhideWhenUsed/>
    <w:pPr>
      <w:numPr>
        <w:numId w:val="1"/>
      </w:numPr>
      <w:contextualSpacing/>
    </w:pPr>
  </w:style>
  <w:style w:type="paragraph" w:styleId="Listepuces2">
    <w:name w:val="List Bullet 2"/>
    <w:basedOn w:val="Normal"/>
    <w:uiPriority w:val="99"/>
    <w:unhideWhenUsed/>
    <w:pPr>
      <w:numPr>
        <w:numId w:val="2"/>
      </w:numPr>
      <w:contextualSpacing/>
    </w:pPr>
  </w:style>
  <w:style w:type="paragraph" w:styleId="Listepuces3">
    <w:name w:val="List Bullet 3"/>
    <w:basedOn w:val="Normal"/>
    <w:uiPriority w:val="99"/>
    <w:unhideWhenUsed/>
    <w:pPr>
      <w:numPr>
        <w:numId w:val="3"/>
      </w:numPr>
      <w:contextualSpacing/>
    </w:pPr>
  </w:style>
  <w:style w:type="paragraph" w:styleId="Listenumros">
    <w:name w:val="List Number"/>
    <w:basedOn w:val="Normal"/>
    <w:uiPriority w:val="99"/>
    <w:unhideWhenUsed/>
    <w:pPr>
      <w:numPr>
        <w:numId w:val="5"/>
      </w:numPr>
      <w:contextualSpacing/>
    </w:pPr>
  </w:style>
  <w:style w:type="paragraph" w:styleId="Listenumros2">
    <w:name w:val="List Number 2"/>
    <w:basedOn w:val="Normal"/>
    <w:uiPriority w:val="99"/>
    <w:unhideWhenUsed/>
    <w:pPr>
      <w:numPr>
        <w:numId w:val="6"/>
      </w:numPr>
      <w:contextualSpacing/>
    </w:pPr>
  </w:style>
  <w:style w:type="paragraph" w:styleId="Listenumros3">
    <w:name w:val="List Number 3"/>
    <w:basedOn w:val="Normal"/>
    <w:uiPriority w:val="99"/>
    <w:unhideWhenUsed/>
    <w:pPr>
      <w:numPr>
        <w:numId w:val="7"/>
      </w:numPr>
      <w:contextualSpacing/>
    </w:pPr>
  </w:style>
  <w:style w:type="paragraph" w:styleId="Listecontinue">
    <w:name w:val="List Continue"/>
    <w:basedOn w:val="Normal"/>
    <w:uiPriority w:val="99"/>
    <w:unhideWhenUsed/>
    <w:pPr>
      <w:spacing w:after="120"/>
      <w:ind w:left="360"/>
      <w:contextualSpacing/>
    </w:pPr>
  </w:style>
  <w:style w:type="paragraph" w:styleId="Listecontinue2">
    <w:name w:val="List Continue 2"/>
    <w:basedOn w:val="Normal"/>
    <w:uiPriority w:val="99"/>
    <w:unhideWhenUsed/>
    <w:pPr>
      <w:spacing w:after="120"/>
      <w:ind w:left="720"/>
      <w:contextualSpacing/>
    </w:pPr>
  </w:style>
  <w:style w:type="paragraph" w:styleId="Listecontinue3">
    <w:name w:val="List Continue 3"/>
    <w:basedOn w:val="Normal"/>
    <w:uiPriority w:val="99"/>
    <w:unhideWhenUsed/>
    <w:pPr>
      <w:spacing w:after="120"/>
      <w:ind w:left="1080"/>
      <w:contextualSpacing/>
    </w:pPr>
  </w:style>
  <w:style w:type="paragraph" w:styleId="Textedemacro">
    <w:name w:val="macro"/>
    <w:link w:val="TextedemacroC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Pr>
      <w:rFonts w:ascii="Courier" w:hAnsi="Courier"/>
      <w:sz w:val="20"/>
      <w:szCs w:val="20"/>
    </w:rPr>
  </w:style>
  <w:style w:type="paragraph" w:styleId="Citation">
    <w:name w:val="Quote"/>
    <w:basedOn w:val="Normal"/>
    <w:next w:val="Normal"/>
    <w:link w:val="CitationCar"/>
    <w:uiPriority w:val="29"/>
    <w:qFormat/>
    <w:rPr>
      <w:i/>
      <w:iCs/>
      <w:color w:val="000000" w:themeColor="text1"/>
    </w:rPr>
  </w:style>
  <w:style w:type="character" w:customStyle="1" w:styleId="CitationCar">
    <w:name w:val="Citation Car"/>
    <w:basedOn w:val="Policepardfaut"/>
    <w:link w:val="Citation"/>
    <w:uiPriority w:val="29"/>
    <w:rPr>
      <w:i/>
      <w:iCs/>
      <w:color w:val="000000" w:themeColor="text1"/>
    </w:rPr>
  </w:style>
  <w:style w:type="character" w:customStyle="1" w:styleId="Titre4Car">
    <w:name w:val="Titre 4 Car"/>
    <w:basedOn w:val="Policepardfaut"/>
    <w:link w:val="Titre4"/>
    <w:uiPriority w:val="9"/>
    <w:semiHidden/>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pPr>
      <w:spacing w:line="240" w:lineRule="auto"/>
    </w:pPr>
    <w:rPr>
      <w:b/>
      <w:bCs/>
      <w:color w:val="4F81BD" w:themeColor="accent1"/>
      <w:szCs w:val="18"/>
    </w:rPr>
  </w:style>
  <w:style w:type="character" w:styleId="lev">
    <w:name w:val="Strong"/>
    <w:basedOn w:val="Policepardfaut"/>
    <w:uiPriority w:val="22"/>
    <w:qFormat/>
    <w:rPr>
      <w:b/>
      <w:bCs/>
    </w:rPr>
  </w:style>
  <w:style w:type="character" w:styleId="Accentuation">
    <w:name w:val="Emphasis"/>
    <w:basedOn w:val="Policepardfaut"/>
    <w:uiPriority w:val="20"/>
    <w:qFormat/>
    <w:rPr>
      <w:i/>
      <w:iCs/>
    </w:rPr>
  </w:style>
  <w:style w:type="paragraph" w:styleId="Citationintense">
    <w:name w:val="Intense Quote"/>
    <w:basedOn w:val="Normal"/>
    <w:next w:val="Normal"/>
    <w:link w:val="CitationintenseC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Pr>
      <w:b/>
      <w:bCs/>
      <w:i/>
      <w:iCs/>
      <w:color w:val="4F81BD" w:themeColor="accent1"/>
    </w:rPr>
  </w:style>
  <w:style w:type="character" w:styleId="Accentuationlgre">
    <w:name w:val="Subtle Emphasis"/>
    <w:basedOn w:val="Policepardfaut"/>
    <w:uiPriority w:val="19"/>
    <w:qFormat/>
    <w:rPr>
      <w:i/>
      <w:iCs/>
      <w:color w:val="808080" w:themeColor="text1" w:themeTint="7F"/>
    </w:rPr>
  </w:style>
  <w:style w:type="character" w:styleId="Accentuationintense">
    <w:name w:val="Intense Emphasis"/>
    <w:basedOn w:val="Policepardfaut"/>
    <w:uiPriority w:val="21"/>
    <w:qFormat/>
    <w:rPr>
      <w:b/>
      <w:bCs/>
      <w:i/>
      <w:iCs/>
      <w:color w:val="4F81BD" w:themeColor="accent1"/>
    </w:rPr>
  </w:style>
  <w:style w:type="character" w:styleId="Rfrencelgre">
    <w:name w:val="Subtle Reference"/>
    <w:basedOn w:val="Policepardfaut"/>
    <w:uiPriority w:val="31"/>
    <w:qFormat/>
    <w:rPr>
      <w:smallCaps/>
      <w:color w:val="C0504D" w:themeColor="accent2"/>
      <w:u w:val="single"/>
    </w:rPr>
  </w:style>
  <w:style w:type="character" w:styleId="Rfrenceintense">
    <w:name w:val="Intense Reference"/>
    <w:basedOn w:val="Policepardfaut"/>
    <w:uiPriority w:val="32"/>
    <w:qFormat/>
    <w:rPr>
      <w:b/>
      <w:bCs/>
      <w:smallCaps/>
      <w:color w:val="C0504D" w:themeColor="accent2"/>
      <w:spacing w:val="5"/>
      <w:u w:val="single"/>
    </w:rPr>
  </w:style>
  <w:style w:type="character" w:styleId="Titredulivre">
    <w:name w:val="Book Title"/>
    <w:basedOn w:val="Policepardfaut"/>
    <w:uiPriority w:val="33"/>
    <w:qFormat/>
    <w:rPr>
      <w:b/>
      <w:bCs/>
      <w:smallCaps/>
      <w:spacing w:val="5"/>
    </w:rPr>
  </w:style>
  <w:style w:type="paragraph" w:styleId="En-ttedetabledesmatires">
    <w:name w:val="TOC Heading"/>
    <w:basedOn w:val="Titre1"/>
    <w:next w:val="Normal"/>
    <w:uiPriority w:val="39"/>
    <w:semiHidden/>
    <w:unhideWhenUsed/>
    <w:qFormat/>
    <w:pPr>
      <w:outlineLvl w:val="9"/>
    </w:pPr>
  </w:style>
  <w:style w:type="table" w:styleId="Grilledutableau">
    <w:name w:val="Table Grid"/>
    <w:basedOn w:val="Tableau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